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Processo n. </w:t>
      </w:r>
      <w:r w:rsidR="007C05E4">
        <w:rPr>
          <w:rFonts w:ascii="Calibri" w:hAnsi="Calibri" w:cs="Calibri"/>
          <w:b/>
          <w:sz w:val="22"/>
          <w:szCs w:val="22"/>
        </w:rPr>
        <w:t>825897/2010</w:t>
      </w:r>
    </w:p>
    <w:p w:rsidR="00CB770A" w:rsidRPr="00883EA9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477FF5" w:rsidRPr="00883EA9">
        <w:rPr>
          <w:rFonts w:ascii="Calibri" w:hAnsi="Calibri" w:cs="Calibri"/>
          <w:b/>
          <w:sz w:val="22"/>
          <w:szCs w:val="22"/>
        </w:rPr>
        <w:t xml:space="preserve"> </w:t>
      </w:r>
      <w:r w:rsidR="007C05E4">
        <w:rPr>
          <w:rFonts w:ascii="Calibri" w:hAnsi="Calibri" w:cs="Calibri"/>
          <w:b/>
          <w:sz w:val="22"/>
          <w:szCs w:val="22"/>
        </w:rPr>
        <w:t xml:space="preserve">Pedro Antônio Pinheiro </w:t>
      </w:r>
      <w:proofErr w:type="spellStart"/>
      <w:r w:rsidR="007C05E4">
        <w:rPr>
          <w:rFonts w:ascii="Calibri" w:hAnsi="Calibri" w:cs="Calibri"/>
          <w:b/>
          <w:sz w:val="22"/>
          <w:szCs w:val="22"/>
        </w:rPr>
        <w:t>Graziuso</w:t>
      </w:r>
      <w:proofErr w:type="spellEnd"/>
    </w:p>
    <w:p w:rsidR="00CB770A" w:rsidRPr="00883EA9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426AE3" w:rsidRPr="00883EA9">
        <w:rPr>
          <w:rFonts w:ascii="Calibri" w:hAnsi="Calibri" w:cs="Calibri"/>
          <w:sz w:val="22"/>
          <w:szCs w:val="22"/>
        </w:rPr>
        <w:t xml:space="preserve"> </w:t>
      </w:r>
      <w:r w:rsidR="007C05E4">
        <w:rPr>
          <w:rFonts w:ascii="Calibri" w:hAnsi="Calibri" w:cs="Calibri"/>
          <w:sz w:val="22"/>
          <w:szCs w:val="22"/>
        </w:rPr>
        <w:t>127602, de 27/10/2010.</w:t>
      </w:r>
    </w:p>
    <w:p w:rsidR="00E14C38" w:rsidRPr="00883EA9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Relator</w:t>
      </w:r>
      <w:r w:rsidR="007C05E4">
        <w:rPr>
          <w:rFonts w:ascii="Calibri" w:hAnsi="Calibri" w:cs="Calibri"/>
          <w:sz w:val="22"/>
          <w:szCs w:val="22"/>
        </w:rPr>
        <w:t xml:space="preserve">a – </w:t>
      </w:r>
      <w:proofErr w:type="spellStart"/>
      <w:r w:rsidR="007C05E4">
        <w:rPr>
          <w:rFonts w:ascii="Calibri" w:hAnsi="Calibri" w:cs="Calibri"/>
          <w:sz w:val="22"/>
          <w:szCs w:val="22"/>
        </w:rPr>
        <w:t>Izadora</w:t>
      </w:r>
      <w:proofErr w:type="spellEnd"/>
      <w:r w:rsidR="007C05E4">
        <w:rPr>
          <w:rFonts w:ascii="Calibri" w:hAnsi="Calibri" w:cs="Calibri"/>
          <w:sz w:val="22"/>
          <w:szCs w:val="22"/>
        </w:rPr>
        <w:t xml:space="preserve"> Albuquerque Silva Xavier - PGE</w:t>
      </w:r>
    </w:p>
    <w:p w:rsidR="00426AE3" w:rsidRPr="00883EA9" w:rsidRDefault="007C05E4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Advogada – Adriana Vanderlei </w:t>
      </w:r>
      <w:proofErr w:type="spellStart"/>
      <w:r>
        <w:rPr>
          <w:rFonts w:ascii="Calibri" w:hAnsi="Calibri" w:cs="Calibri"/>
          <w:sz w:val="22"/>
          <w:szCs w:val="22"/>
        </w:rPr>
        <w:t>Pommer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14.810</w:t>
      </w:r>
      <w:r w:rsidR="00D0758B">
        <w:rPr>
          <w:rFonts w:ascii="Calibri" w:hAnsi="Calibri" w:cs="Calibri"/>
          <w:sz w:val="22"/>
          <w:szCs w:val="22"/>
        </w:rPr>
        <w:t xml:space="preserve"> 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   </w:t>
      </w:r>
    </w:p>
    <w:p w:rsidR="00736506" w:rsidRDefault="00E21946" w:rsidP="00736506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1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7C05E4" w:rsidRDefault="007C05E4" w:rsidP="00736506">
      <w:pPr>
        <w:jc w:val="both"/>
        <w:rPr>
          <w:rFonts w:ascii="Calibri" w:hAnsi="Calibri" w:cs="Calibri"/>
          <w:sz w:val="22"/>
          <w:szCs w:val="22"/>
        </w:rPr>
      </w:pPr>
    </w:p>
    <w:p w:rsidR="002C53E1" w:rsidRPr="007C05E4" w:rsidRDefault="0029735D" w:rsidP="007C05E4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ACÓRDÃO – 10</w:t>
      </w:r>
      <w:r w:rsidR="00D0758B">
        <w:rPr>
          <w:rFonts w:ascii="Calibri" w:hAnsi="Calibri" w:cs="Calibri"/>
          <w:b/>
          <w:sz w:val="22"/>
          <w:szCs w:val="22"/>
        </w:rPr>
        <w:t>7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E14C38" w:rsidRPr="006270E5" w:rsidRDefault="007A38CC" w:rsidP="00736506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 xml:space="preserve">Auto de Infração </w:t>
      </w:r>
      <w:r w:rsidR="007C05E4">
        <w:rPr>
          <w:rFonts w:ascii="Calibri" w:hAnsi="Calibri" w:cs="Calibri"/>
          <w:sz w:val="22"/>
          <w:szCs w:val="22"/>
        </w:rPr>
        <w:t>127602, de 27/10/2010. Auto de Inspeção n. 142642, de 27/10/2010. Relatório Técnico n. 00791/SUF/CFFUC/2010. Queima de 50,00 hectares, na propriedade Fazenda Vaga Lume</w:t>
      </w:r>
      <w:r w:rsidR="006270E5">
        <w:rPr>
          <w:rFonts w:ascii="Calibri" w:hAnsi="Calibri" w:cs="Calibri"/>
          <w:sz w:val="22"/>
          <w:szCs w:val="22"/>
        </w:rPr>
        <w:t xml:space="preserve">. </w:t>
      </w:r>
      <w:r w:rsidR="006270E5" w:rsidRPr="006270E5">
        <w:rPr>
          <w:rFonts w:ascii="Calibri" w:hAnsi="Calibri" w:cs="Calibri"/>
          <w:sz w:val="22"/>
          <w:szCs w:val="22"/>
        </w:rPr>
        <w:t>Decisão Administrativa n. 1510/SUNOR/SEMA/2016, pela homologação do Auto de Infração n.127602, de 27/10/2010, arbitrando multa de R$ 22.500,00 (vinte e dois mil e quinhentos reais), com fulcro no artigo 60, inciso I do Decreto Federal 6.514/08. Com a palavra o recorrente requer reconheça-se a prescrição do procedimento administrativo em análise, arquivando-o e determinando a baixa necessária nos registros da presente autuação. Digne-se declarar a nulidade do auto de infração, cancelando integralmente a multa dele decorrente uma vez que inexiste o perímetro indicado no AI e não houve destruição de vegetação nativa ou uso de fogo pelo recorrente.</w:t>
      </w:r>
      <w:r w:rsidR="006270E5">
        <w:rPr>
          <w:rFonts w:ascii="Calibri" w:hAnsi="Calibri" w:cs="Calibri"/>
          <w:sz w:val="22"/>
          <w:szCs w:val="22"/>
        </w:rPr>
        <w:t xml:space="preserve"> Recurso provido. </w:t>
      </w:r>
    </w:p>
    <w:p w:rsidR="00426AE3" w:rsidRPr="00883EA9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5331A6" w:rsidRPr="006270E5" w:rsidRDefault="00B70EB0" w:rsidP="00983B92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Vistos, rela</w:t>
      </w:r>
      <w:r w:rsidR="00D270C1" w:rsidRPr="00883EA9">
        <w:rPr>
          <w:rFonts w:ascii="Calibri" w:hAnsi="Calibri" w:cs="Calibri"/>
          <w:sz w:val="22"/>
          <w:szCs w:val="22"/>
        </w:rPr>
        <w:t>tados, e discut</w:t>
      </w:r>
      <w:r w:rsidR="00BA2047">
        <w:rPr>
          <w:rFonts w:ascii="Calibri" w:hAnsi="Calibri" w:cs="Calibri"/>
          <w:sz w:val="22"/>
          <w:szCs w:val="22"/>
        </w:rPr>
        <w:t xml:space="preserve">idos decidiram </w:t>
      </w:r>
      <w:r w:rsidR="00D270C1" w:rsidRPr="00883EA9">
        <w:rPr>
          <w:rFonts w:ascii="Calibri" w:hAnsi="Calibri" w:cs="Calibri"/>
          <w:sz w:val="22"/>
          <w:szCs w:val="22"/>
        </w:rPr>
        <w:t xml:space="preserve">os membros da 1ª Junta de Julgamento de </w:t>
      </w:r>
      <w:r w:rsidR="00BA2047">
        <w:rPr>
          <w:rFonts w:ascii="Calibri" w:hAnsi="Calibri" w:cs="Calibri"/>
          <w:sz w:val="22"/>
          <w:szCs w:val="22"/>
        </w:rPr>
        <w:t>Recur</w:t>
      </w:r>
      <w:r w:rsidR="00983B92">
        <w:rPr>
          <w:rFonts w:ascii="Calibri" w:hAnsi="Calibri" w:cs="Calibri"/>
          <w:sz w:val="22"/>
          <w:szCs w:val="22"/>
        </w:rPr>
        <w:t>s</w:t>
      </w:r>
      <w:r w:rsidR="006270E5">
        <w:rPr>
          <w:rFonts w:ascii="Calibri" w:hAnsi="Calibri" w:cs="Calibri"/>
          <w:sz w:val="22"/>
          <w:szCs w:val="22"/>
        </w:rPr>
        <w:t xml:space="preserve">os, </w:t>
      </w:r>
      <w:r w:rsidR="006270E5" w:rsidRPr="006270E5">
        <w:rPr>
          <w:rFonts w:ascii="Calibri" w:hAnsi="Calibri" w:cs="Calibri"/>
          <w:sz w:val="22"/>
          <w:szCs w:val="22"/>
        </w:rPr>
        <w:t xml:space="preserve">por unanimidade, acolher o voto da relatora, pois é provável que os agentes </w:t>
      </w:r>
      <w:proofErr w:type="spellStart"/>
      <w:r w:rsidR="006270E5" w:rsidRPr="006270E5">
        <w:rPr>
          <w:rFonts w:ascii="Calibri" w:hAnsi="Calibri" w:cs="Calibri"/>
          <w:sz w:val="22"/>
          <w:szCs w:val="22"/>
        </w:rPr>
        <w:t>autuantes</w:t>
      </w:r>
      <w:proofErr w:type="spellEnd"/>
      <w:r w:rsidR="006270E5" w:rsidRPr="006270E5">
        <w:rPr>
          <w:rFonts w:ascii="Calibri" w:hAnsi="Calibri" w:cs="Calibri"/>
          <w:sz w:val="22"/>
          <w:szCs w:val="22"/>
        </w:rPr>
        <w:t xml:space="preserve"> estejam imputando ao proprietário a responsabilidade administrativa pelo ilícito tão somente em razão dele SER o dono da área na época dos fatos, não por ele FAZER ou DEIXAR DE FAZER certa conduta. Sob a perspectiva de RESPONSABILIDADE CIVIL, a presunção dos fiscais pode ser considerada adequada, pois a obrigação de </w:t>
      </w:r>
      <w:r w:rsidR="006270E5" w:rsidRPr="006270E5">
        <w:rPr>
          <w:rFonts w:ascii="Calibri" w:hAnsi="Calibri" w:cs="Calibri"/>
          <w:i/>
          <w:sz w:val="22"/>
          <w:szCs w:val="22"/>
        </w:rPr>
        <w:t xml:space="preserve">reparar </w:t>
      </w:r>
      <w:r w:rsidR="006270E5" w:rsidRPr="006270E5">
        <w:rPr>
          <w:rFonts w:ascii="Calibri" w:hAnsi="Calibri" w:cs="Calibri"/>
          <w:sz w:val="22"/>
          <w:szCs w:val="22"/>
        </w:rPr>
        <w:t>danos ambientais acompanha o titular ou possuidor da coisa, independentemente de quem seja o autor dos danos. Porém, a lógica da responsabilidade civil não se estende à RESPONSABILIDADE ADMINISTRATIVA por infração ambiental. Por conseguinte, a condição de proprietário do local do ilícito, por si só, não permite a presunção de que o proprietário seja considerado autor da infração ambiental. Portanto, na ausência de prova que justifique a presunção de que o autuado tenha causado o incêndio, não subsiste a responsabilidade administrativa. Diante de todo o exposto, voto para conhecer do recurso e pelo seu provimento, no sentido de anular o auto de infração n. 127602, e por consequência o arquivamento do processo.</w:t>
      </w:r>
    </w:p>
    <w:p w:rsidR="00827611" w:rsidRDefault="00827611" w:rsidP="009B556A">
      <w:pPr>
        <w:jc w:val="both"/>
        <w:rPr>
          <w:rFonts w:ascii="Calibri" w:hAnsi="Calibri" w:cs="Calibri"/>
          <w:sz w:val="22"/>
          <w:szCs w:val="22"/>
        </w:rPr>
      </w:pPr>
    </w:p>
    <w:p w:rsidR="009B556A" w:rsidRPr="00883EA9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IESCBAP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OPAN</w:t>
      </w:r>
    </w:p>
    <w:p w:rsidR="00173887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SEMA</w:t>
      </w:r>
    </w:p>
    <w:p w:rsidR="00CB770A" w:rsidRPr="00883EA9" w:rsidRDefault="00957932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David Maia Castelo Branco Ferreira</w:t>
      </w:r>
      <w:bookmarkStart w:id="0" w:name="_GoBack"/>
      <w:bookmarkEnd w:id="0"/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PGE</w:t>
      </w:r>
    </w:p>
    <w:p w:rsidR="00CB770A" w:rsidRPr="00883EA9" w:rsidRDefault="00094D9D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Augusto César Castilho</w:t>
      </w:r>
    </w:p>
    <w:p w:rsidR="00087EE3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IBAMA</w:t>
      </w:r>
    </w:p>
    <w:p w:rsidR="00CB770A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FIEMT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FEC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AMM</w:t>
      </w:r>
    </w:p>
    <w:p w:rsidR="00094D9D" w:rsidRPr="00883EA9" w:rsidRDefault="00094D9D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94D9D" w:rsidRPr="00883EA9" w:rsidRDefault="00094D9D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FETIEMT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1A50F7" w:rsidRPr="00883EA9">
        <w:rPr>
          <w:rFonts w:ascii="Calibri" w:hAnsi="Calibri" w:cs="Calibri"/>
          <w:sz w:val="22"/>
          <w:szCs w:val="22"/>
        </w:rPr>
        <w:t xml:space="preserve"> 19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AC05E0" w:rsidRPr="00883EA9" w:rsidRDefault="00482814" w:rsidP="00883EA9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94D9D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A50F7"/>
    <w:rsid w:val="001D6390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5F67"/>
    <w:rsid w:val="004D4DA9"/>
    <w:rsid w:val="004D6B64"/>
    <w:rsid w:val="004E3A3D"/>
    <w:rsid w:val="00505DB7"/>
    <w:rsid w:val="00506AAE"/>
    <w:rsid w:val="00510AC7"/>
    <w:rsid w:val="00526E28"/>
    <w:rsid w:val="005331A6"/>
    <w:rsid w:val="005345A5"/>
    <w:rsid w:val="005741D9"/>
    <w:rsid w:val="0058367A"/>
    <w:rsid w:val="005B1216"/>
    <w:rsid w:val="005C3140"/>
    <w:rsid w:val="005F0EB9"/>
    <w:rsid w:val="005F1380"/>
    <w:rsid w:val="00616B16"/>
    <w:rsid w:val="006270E5"/>
    <w:rsid w:val="006309BC"/>
    <w:rsid w:val="00647CA9"/>
    <w:rsid w:val="006521D2"/>
    <w:rsid w:val="006573CA"/>
    <w:rsid w:val="00670563"/>
    <w:rsid w:val="0067549E"/>
    <w:rsid w:val="006E0864"/>
    <w:rsid w:val="00705B7F"/>
    <w:rsid w:val="00733E2E"/>
    <w:rsid w:val="00736506"/>
    <w:rsid w:val="0074239E"/>
    <w:rsid w:val="00745543"/>
    <w:rsid w:val="00784672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7611"/>
    <w:rsid w:val="00836B9A"/>
    <w:rsid w:val="00847833"/>
    <w:rsid w:val="008478E6"/>
    <w:rsid w:val="0087180B"/>
    <w:rsid w:val="00883EA9"/>
    <w:rsid w:val="00886CB4"/>
    <w:rsid w:val="0089169B"/>
    <w:rsid w:val="008D2427"/>
    <w:rsid w:val="008F68C2"/>
    <w:rsid w:val="00934C2C"/>
    <w:rsid w:val="009406C9"/>
    <w:rsid w:val="00940C45"/>
    <w:rsid w:val="00957932"/>
    <w:rsid w:val="00961333"/>
    <w:rsid w:val="009628EB"/>
    <w:rsid w:val="00983B92"/>
    <w:rsid w:val="009B50A7"/>
    <w:rsid w:val="009B556A"/>
    <w:rsid w:val="009D2B15"/>
    <w:rsid w:val="009E2E7B"/>
    <w:rsid w:val="009E710D"/>
    <w:rsid w:val="00A03A0E"/>
    <w:rsid w:val="00A17B9D"/>
    <w:rsid w:val="00A223B9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35730"/>
    <w:rsid w:val="00B525CF"/>
    <w:rsid w:val="00B70EB0"/>
    <w:rsid w:val="00BA2047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86E77"/>
    <w:rsid w:val="00C91935"/>
    <w:rsid w:val="00C92A52"/>
    <w:rsid w:val="00C97EAF"/>
    <w:rsid w:val="00CA3D9A"/>
    <w:rsid w:val="00CB770A"/>
    <w:rsid w:val="00CD23C1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14C38"/>
    <w:rsid w:val="00E21946"/>
    <w:rsid w:val="00E366D2"/>
    <w:rsid w:val="00E4377E"/>
    <w:rsid w:val="00E4412C"/>
    <w:rsid w:val="00E662A4"/>
    <w:rsid w:val="00E73547"/>
    <w:rsid w:val="00E811E3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2F78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dcterms:created xsi:type="dcterms:W3CDTF">2020-10-26T17:35:00Z</dcterms:created>
  <dcterms:modified xsi:type="dcterms:W3CDTF">2020-10-26T18:24:00Z</dcterms:modified>
</cp:coreProperties>
</file>